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/>
        <w:jc w:val="right"/>
        <w:rPr>
          <w:sz w:val="28"/>
        </w:rPr>
      </w:pPr>
    </w:p>
    <w:p>
      <w:pPr>
        <w:ind w:firstLine="560"/>
        <w:jc w:val="right"/>
        <w:rPr>
          <w:rFonts w:asciiTheme="minorEastAsia" w:hAnsiTheme="minorEastAsia" w:eastAsiaTheme="minorEastAsia"/>
          <w:sz w:val="28"/>
        </w:rPr>
      </w:pPr>
      <w:r>
        <w:rPr>
          <w:rFonts w:hint="eastAsia" w:asciiTheme="minorEastAsia" w:hAnsiTheme="minorEastAsia" w:eastAsiaTheme="minorEastAsia"/>
          <w:sz w:val="28"/>
        </w:rPr>
        <w:t>版本号：V1.0</w:t>
      </w:r>
    </w:p>
    <w:p>
      <w:pPr>
        <w:ind w:firstLine="723"/>
        <w:rPr>
          <w:rFonts w:ascii="黑体" w:hAnsi="黑体" w:eastAsia="黑体"/>
          <w:b/>
          <w:sz w:val="36"/>
        </w:rPr>
      </w:pPr>
    </w:p>
    <w:p>
      <w:pPr>
        <w:ind w:firstLine="723"/>
        <w:rPr>
          <w:rFonts w:ascii="黑体" w:hAnsi="黑体" w:eastAsia="黑体"/>
          <w:b/>
          <w:sz w:val="36"/>
        </w:rPr>
      </w:pPr>
    </w:p>
    <w:p>
      <w:pPr>
        <w:ind w:firstLine="723"/>
        <w:rPr>
          <w:rFonts w:ascii="黑体" w:hAnsi="黑体" w:eastAsia="黑体"/>
          <w:b/>
          <w:sz w:val="36"/>
        </w:rPr>
      </w:pPr>
    </w:p>
    <w:p>
      <w:pPr>
        <w:ind w:firstLine="723"/>
        <w:rPr>
          <w:rFonts w:ascii="黑体" w:hAnsi="黑体" w:eastAsia="黑体"/>
          <w:b/>
          <w:sz w:val="36"/>
        </w:rPr>
      </w:pPr>
    </w:p>
    <w:p>
      <w:pPr>
        <w:ind w:firstLine="803"/>
        <w:jc w:val="center"/>
        <w:rPr>
          <w:rFonts w:ascii="黑体" w:hAnsi="黑体" w:eastAsia="黑体"/>
          <w:b/>
          <w:sz w:val="40"/>
        </w:rPr>
      </w:pPr>
      <w:r>
        <w:rPr>
          <w:rFonts w:hint="eastAsia" w:ascii="黑体" w:hAnsi="黑体" w:eastAsia="黑体"/>
          <w:b/>
          <w:sz w:val="40"/>
        </w:rPr>
        <w:t>非商招标采购管理系统</w:t>
      </w:r>
    </w:p>
    <w:p>
      <w:pPr>
        <w:ind w:firstLine="803"/>
        <w:jc w:val="center"/>
        <w:rPr>
          <w:rFonts w:ascii="黑体" w:hAnsi="黑体" w:eastAsia="黑体"/>
          <w:b/>
          <w:sz w:val="40"/>
        </w:rPr>
      </w:pPr>
    </w:p>
    <w:p>
      <w:pPr>
        <w:ind w:firstLine="803"/>
        <w:jc w:val="center"/>
        <w:rPr>
          <w:rFonts w:ascii="黑体" w:hAnsi="黑体" w:eastAsia="黑体"/>
          <w:b/>
          <w:sz w:val="40"/>
        </w:rPr>
      </w:pPr>
      <w:r>
        <w:rPr>
          <w:rFonts w:hint="eastAsia" w:ascii="黑体" w:hAnsi="黑体" w:eastAsia="黑体"/>
          <w:b/>
          <w:sz w:val="40"/>
        </w:rPr>
        <w:t>操作手册-供应商参与项目</w:t>
      </w:r>
      <w:r>
        <w:rPr>
          <w:rFonts w:ascii="黑体" w:hAnsi="黑体" w:eastAsia="黑体"/>
          <w:b/>
          <w:sz w:val="40"/>
        </w:rPr>
        <w:t xml:space="preserve"> </w:t>
      </w:r>
    </w:p>
    <w:p>
      <w:pPr>
        <w:ind w:firstLine="560"/>
        <w:rPr>
          <w:rFonts w:ascii="黑体" w:hAnsi="黑体" w:eastAsia="黑体"/>
          <w:sz w:val="28"/>
        </w:rPr>
      </w:pPr>
    </w:p>
    <w:p>
      <w:pPr>
        <w:ind w:firstLine="560"/>
        <w:rPr>
          <w:rFonts w:ascii="黑体" w:hAnsi="黑体" w:eastAsia="黑体"/>
          <w:sz w:val="28"/>
        </w:rPr>
      </w:pPr>
    </w:p>
    <w:p>
      <w:pPr>
        <w:ind w:firstLine="560"/>
        <w:rPr>
          <w:rFonts w:ascii="黑体" w:hAnsi="黑体" w:eastAsia="黑体"/>
          <w:sz w:val="28"/>
        </w:rPr>
      </w:pPr>
    </w:p>
    <w:p>
      <w:pPr>
        <w:ind w:firstLine="560"/>
        <w:rPr>
          <w:rFonts w:ascii="黑体" w:hAnsi="黑体" w:eastAsia="黑体"/>
          <w:sz w:val="28"/>
        </w:rPr>
      </w:pPr>
    </w:p>
    <w:p>
      <w:pPr>
        <w:ind w:firstLine="560"/>
        <w:rPr>
          <w:rFonts w:ascii="黑体" w:hAnsi="黑体" w:eastAsia="黑体"/>
          <w:sz w:val="28"/>
        </w:rPr>
      </w:pPr>
    </w:p>
    <w:p>
      <w:pPr>
        <w:ind w:firstLine="560"/>
        <w:rPr>
          <w:rFonts w:ascii="黑体" w:hAnsi="黑体" w:eastAsia="黑体"/>
          <w:sz w:val="28"/>
        </w:rPr>
      </w:pPr>
    </w:p>
    <w:p>
      <w:pPr>
        <w:ind w:firstLine="560"/>
        <w:rPr>
          <w:rFonts w:ascii="黑体" w:hAnsi="黑体" w:eastAsia="黑体"/>
          <w:sz w:val="28"/>
        </w:rPr>
      </w:pPr>
    </w:p>
    <w:p>
      <w:pPr>
        <w:ind w:firstLine="560"/>
        <w:rPr>
          <w:rFonts w:ascii="黑体" w:hAnsi="黑体" w:eastAsia="黑体"/>
          <w:sz w:val="28"/>
        </w:rPr>
      </w:pPr>
    </w:p>
    <w:p>
      <w:pPr>
        <w:ind w:firstLine="560"/>
        <w:rPr>
          <w:rFonts w:ascii="黑体" w:hAnsi="黑体" w:eastAsia="黑体"/>
          <w:sz w:val="28"/>
        </w:rPr>
      </w:pPr>
    </w:p>
    <w:p>
      <w:pPr>
        <w:ind w:firstLine="562"/>
        <w:jc w:val="center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郑州信源信息技术股份有限公司</w:t>
      </w:r>
    </w:p>
    <w:p>
      <w:pPr>
        <w:ind w:firstLine="560"/>
        <w:rPr>
          <w:sz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sz w:val="21"/>
          <w:szCs w:val="20"/>
          <w:lang w:val="zh-CN"/>
        </w:rPr>
        <w:id w:val="140241532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sz w:val="21"/>
          <w:szCs w:val="20"/>
          <w:lang w:val="zh-CN"/>
        </w:rPr>
      </w:sdtEndPr>
      <w:sdtContent>
        <w:p>
          <w:pPr>
            <w:pStyle w:val="34"/>
            <w:spacing w:before="0"/>
            <w:jc w:val="center"/>
            <w:rPr>
              <w:rFonts w:ascii="黑体" w:hAnsi="黑体" w:eastAsia="黑体"/>
              <w:color w:val="auto"/>
              <w:sz w:val="32"/>
            </w:rPr>
          </w:pPr>
          <w:r>
            <w:rPr>
              <w:rFonts w:ascii="黑体" w:hAnsi="黑体" w:eastAsia="黑体"/>
              <w:color w:val="auto"/>
              <w:sz w:val="32"/>
              <w:lang w:val="zh-CN"/>
            </w:rPr>
            <w:t>目录</w:t>
          </w:r>
        </w:p>
        <w:p>
          <w:pPr>
            <w:pStyle w:val="15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"_Toc152246593"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1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如何登录系统</w:t>
          </w:r>
          <w:r>
            <w:tab/>
          </w:r>
          <w:r>
            <w:fldChar w:fldCharType="begin"/>
          </w:r>
          <w:r>
            <w:instrText xml:space="preserve"> PAGEREF _Toc152246593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47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"_Toc152246594"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1.1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外部用户登录</w:t>
          </w:r>
          <w:r>
            <w:tab/>
          </w:r>
          <w:r>
            <w:fldChar w:fldCharType="begin"/>
          </w:r>
          <w:r>
            <w:instrText xml:space="preserve"> PAGEREF _Toc152246594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"_Toc152246595" </w:instrText>
          </w:r>
          <w:r>
            <w:fldChar w:fldCharType="separate"/>
          </w:r>
          <w:r>
            <w:rPr>
              <w:rStyle w:val="20"/>
            </w:rPr>
            <w:t>2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</w:rPr>
            <w:t>供应商参与项目</w:t>
          </w:r>
          <w:r>
            <w:tab/>
          </w:r>
          <w:r>
            <w:fldChar w:fldCharType="begin"/>
          </w:r>
          <w:r>
            <w:instrText xml:space="preserve"> PAGEREF _Toc152246595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47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"_Toc152246596"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2.1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报名</w:t>
          </w:r>
          <w:r>
            <w:tab/>
          </w:r>
          <w:r>
            <w:fldChar w:fldCharType="begin"/>
          </w:r>
          <w:r>
            <w:instrText xml:space="preserve"> PAGEREF _Toc152246596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47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"_Toc152246597"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2.2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邀请函确认</w:t>
          </w:r>
          <w:r>
            <w:tab/>
          </w:r>
          <w:r>
            <w:fldChar w:fldCharType="begin"/>
          </w:r>
          <w:r>
            <w:instrText xml:space="preserve"> PAGEREF _Toc152246597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47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"_Toc152246598"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2.3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文件下载</w:t>
          </w:r>
          <w:r>
            <w:tab/>
          </w:r>
          <w:r>
            <w:fldChar w:fldCharType="begin"/>
          </w:r>
          <w:r>
            <w:instrText xml:space="preserve"> PAGEREF _Toc152246598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47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"_Toc152246599"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2.4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项目澄清</w:t>
          </w:r>
          <w:r>
            <w:tab/>
          </w:r>
          <w:r>
            <w:fldChar w:fldCharType="begin"/>
          </w:r>
          <w:r>
            <w:instrText xml:space="preserve"> PAGEREF _Toc152246599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47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"_Toc152246600"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2.5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投标</w:t>
          </w:r>
          <w:r>
            <w:tab/>
          </w:r>
          <w:r>
            <w:fldChar w:fldCharType="begin"/>
          </w:r>
          <w:r>
            <w:instrText xml:space="preserve"> PAGEREF _Toc152246600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47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"_Toc152246601"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2.6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标中澄清</w:t>
          </w:r>
          <w:r>
            <w:tab/>
          </w:r>
          <w:r>
            <w:fldChar w:fldCharType="begin"/>
          </w:r>
          <w:r>
            <w:instrText xml:space="preserve"> PAGEREF _Toc152246601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47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"_Toc152246602"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2.7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结果公告</w:t>
          </w:r>
          <w:r>
            <w:tab/>
          </w:r>
          <w:r>
            <w:fldChar w:fldCharType="begin"/>
          </w:r>
          <w:r>
            <w:instrText xml:space="preserve"> PAGEREF _Toc152246602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47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"_Toc152246603" </w:instrText>
          </w:r>
          <w:r>
            <w:fldChar w:fldCharType="separate"/>
          </w:r>
          <w:r>
            <w:rPr>
              <w:rStyle w:val="20"/>
              <w:rFonts w:ascii="黑体" w:hAnsi="黑体" w:eastAsia="黑体"/>
            </w:rPr>
            <w:t>2.8</w:t>
          </w:r>
          <w:r>
            <w:rPr>
              <w:rFonts w:asciiTheme="minorHAnsi" w:hAnsiTheme="minorHAnsi" w:eastAsiaTheme="minorEastAsia" w:cstheme="minorBidi"/>
              <w:kern w:val="2"/>
              <w:szCs w:val="22"/>
              <w14:ligatures w14:val="standardContextual"/>
            </w:rPr>
            <w:tab/>
          </w:r>
          <w:r>
            <w:rPr>
              <w:rStyle w:val="20"/>
              <w:rFonts w:ascii="黑体" w:hAnsi="黑体" w:eastAsia="黑体"/>
            </w:rPr>
            <w:t>中标结果</w:t>
          </w:r>
          <w:r>
            <w:tab/>
          </w:r>
          <w:r>
            <w:fldChar w:fldCharType="begin"/>
          </w:r>
          <w:r>
            <w:instrText xml:space="preserve"> PAGEREF _Toc152246603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snapToGrid w:val="0"/>
            <w:spacing w:line="360" w:lineRule="exact"/>
            <w:ind w:firstLine="0" w:firstLineChars="0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sectPr>
          <w:headerReference r:id="rId11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rPr>
          <w:rFonts w:ascii="黑体" w:hAnsi="黑体" w:eastAsia="黑体"/>
        </w:rPr>
      </w:pPr>
      <w:bookmarkStart w:id="0" w:name="_Toc152246593"/>
      <w:bookmarkStart w:id="1" w:name="_Toc70352921"/>
      <w:bookmarkStart w:id="2" w:name="_Toc107656965"/>
      <w:bookmarkStart w:id="3" w:name="_Hlk107663256"/>
      <w:r>
        <w:rPr>
          <w:rFonts w:ascii="黑体" w:hAnsi="黑体" w:eastAsia="黑体"/>
        </w:rPr>
        <w:t>如何登录系统</w:t>
      </w:r>
      <w:bookmarkEnd w:id="0"/>
      <w:bookmarkEnd w:id="1"/>
      <w:bookmarkEnd w:id="2"/>
    </w:p>
    <w:p>
      <w:pPr>
        <w:pStyle w:val="3"/>
        <w:rPr>
          <w:rFonts w:ascii="黑体" w:hAnsi="黑体" w:eastAsia="黑体"/>
        </w:rPr>
      </w:pPr>
      <w:bookmarkStart w:id="4" w:name="_Toc152246594"/>
      <w:bookmarkStart w:id="5" w:name="_Toc107656966"/>
      <w:r>
        <w:rPr>
          <w:rFonts w:hint="eastAsia" w:ascii="黑体" w:hAnsi="黑体" w:eastAsia="黑体"/>
        </w:rPr>
        <w:t>外部用户登录</w:t>
      </w:r>
      <w:bookmarkEnd w:id="4"/>
      <w:bookmarkEnd w:id="5"/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</w:rPr>
        <w:t>操作说明：</w:t>
      </w:r>
    </w:p>
    <w:p>
      <w:pPr>
        <w:pStyle w:val="33"/>
        <w:numPr>
          <w:ilvl w:val="0"/>
          <w:numId w:val="2"/>
        </w:numPr>
        <w:ind w:left="1272" w:firstLineChars="0"/>
        <w:rPr>
          <w:rFonts w:ascii="宋体" w:hAnsi="宋体"/>
          <w:b/>
        </w:rPr>
      </w:pPr>
      <w:r>
        <w:rPr>
          <w:rFonts w:hint="eastAsia" w:ascii="宋体" w:hAnsi="宋体"/>
        </w:rPr>
        <w:t>第一步：</w:t>
      </w:r>
      <w:r>
        <w:rPr>
          <w:rFonts w:ascii="宋体" w:hAnsi="宋体"/>
        </w:rPr>
        <w:t>在浏览器中输入地址</w:t>
      </w:r>
      <w:r>
        <w:rPr>
          <w:rFonts w:hint="eastAsia" w:ascii="宋体" w:hAnsi="宋体"/>
        </w:rPr>
        <w:t>“</w:t>
      </w:r>
      <w:r>
        <w:fldChar w:fldCharType="begin"/>
      </w:r>
      <w:r>
        <w:instrText xml:space="preserve"> HYPERLINK "https://bidding.lbxdrugs.com/" </w:instrText>
      </w:r>
      <w:r>
        <w:fldChar w:fldCharType="separate"/>
      </w:r>
      <w:r>
        <w:rPr>
          <w:rStyle w:val="20"/>
          <w:rFonts w:ascii="宋体" w:hAnsi="宋体"/>
        </w:rPr>
        <w:t>https://bidding.lbxdrugs.com/</w:t>
      </w:r>
      <w:r>
        <w:rPr>
          <w:rStyle w:val="20"/>
          <w:rFonts w:ascii="宋体" w:hAnsi="宋体"/>
        </w:rPr>
        <w:fldChar w:fldCharType="end"/>
      </w:r>
      <w:r>
        <w:rPr>
          <w:rFonts w:hint="eastAsia" w:ascii="宋体" w:hAnsi="宋体"/>
        </w:rPr>
        <w:t>”，点回车进入采购系统门户网站页面</w:t>
      </w:r>
      <w:r>
        <w:rPr>
          <w:rFonts w:ascii="宋体" w:hAnsi="宋体"/>
        </w:rPr>
        <w:t>。</w:t>
      </w:r>
    </w:p>
    <w:p>
      <w:pPr>
        <w:ind w:firstLine="0" w:firstLineChars="0"/>
        <w:rPr>
          <w:rFonts w:asciiTheme="majorEastAsia" w:hAnsiTheme="majorEastAsia" w:eastAsiaTheme="majorEastAsia"/>
          <w:b/>
        </w:rPr>
      </w:pPr>
      <w:r>
        <w:drawing>
          <wp:inline distT="0" distB="0" distL="0" distR="0">
            <wp:extent cx="5274310" cy="3391535"/>
            <wp:effectExtent l="0" t="0" r="2540" b="0"/>
            <wp:docPr id="613259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599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2525395"/>
            <wp:effectExtent l="0" t="0" r="2540" b="8255"/>
            <wp:docPr id="1909066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6639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ind w:left="420" w:leftChars="200" w:firstLine="0" w:firstLineChars="0"/>
        <w:rPr>
          <w:rFonts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</w:rPr>
        <w:t>规则说明</w:t>
      </w:r>
      <w:r>
        <w:rPr>
          <w:rFonts w:hint="eastAsia" w:ascii="宋体" w:hAnsi="宋体"/>
          <w:sz w:val="22"/>
          <w:szCs w:val="22"/>
        </w:rPr>
        <w:t>：</w:t>
      </w:r>
    </w:p>
    <w:p>
      <w:pPr>
        <w:pStyle w:val="33"/>
        <w:numPr>
          <w:ilvl w:val="0"/>
          <w:numId w:val="3"/>
        </w:numPr>
        <w:ind w:firstLineChars="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用户登录：</w:t>
      </w:r>
      <w:r>
        <w:rPr>
          <w:rFonts w:hint="eastAsia"/>
        </w:rPr>
        <w:t>输入“账号”、“密码”、“验证码”，点“登录”按钮，通过校验后页面跳转至主程序桌面。</w:t>
      </w:r>
    </w:p>
    <w:p>
      <w:pPr>
        <w:pStyle w:val="33"/>
        <w:numPr>
          <w:ilvl w:val="0"/>
          <w:numId w:val="2"/>
        </w:numPr>
        <w:ind w:firstLineChars="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第二步</w:t>
      </w:r>
      <w:r>
        <w:rPr>
          <w:rFonts w:hint="eastAsia" w:asciiTheme="majorEastAsia" w:hAnsiTheme="majorEastAsia" w:eastAsiaTheme="majorEastAsia"/>
        </w:rPr>
        <w:t>：</w:t>
      </w:r>
      <w:r>
        <w:rPr>
          <w:rFonts w:asciiTheme="majorEastAsia" w:hAnsiTheme="majorEastAsia" w:eastAsiaTheme="majorEastAsia"/>
        </w:rPr>
        <w:t>根据用户角色不同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asciiTheme="majorEastAsia" w:hAnsiTheme="majorEastAsia" w:eastAsiaTheme="majorEastAsia"/>
        </w:rPr>
        <w:t>主程序桌面显示内容不同</w:t>
      </w:r>
      <w:r>
        <w:rPr>
          <w:rFonts w:hint="eastAsia" w:asciiTheme="majorEastAsia" w:hAnsiTheme="majorEastAsia" w:eastAsiaTheme="majorEastAsia"/>
        </w:rPr>
        <w:t>。</w:t>
      </w:r>
    </w:p>
    <w:p>
      <w:pPr>
        <w:pStyle w:val="2"/>
      </w:pPr>
      <w:bookmarkStart w:id="6" w:name="_Toc152246595"/>
      <w:r>
        <w:rPr>
          <w:rFonts w:hint="eastAsia"/>
        </w:rPr>
        <w:t>供应商参与项目</w:t>
      </w:r>
      <w:bookmarkEnd w:id="6"/>
    </w:p>
    <w:p>
      <w:pPr>
        <w:pStyle w:val="3"/>
        <w:rPr>
          <w:rFonts w:ascii="黑体" w:hAnsi="黑体" w:eastAsia="黑体"/>
        </w:rPr>
      </w:pPr>
      <w:bookmarkStart w:id="7" w:name="_Toc152246596"/>
      <w:r>
        <w:rPr>
          <w:rFonts w:hint="eastAsia" w:ascii="黑体" w:hAnsi="黑体" w:eastAsia="黑体"/>
        </w:rPr>
        <w:t>报名</w:t>
      </w:r>
      <w:bookmarkEnd w:id="7"/>
    </w:p>
    <w:p>
      <w:pPr>
        <w:rPr>
          <w:rFonts w:hint="eastAsia" w:asciiTheme="minorEastAsia" w:hAnsiTheme="minorEastAsia" w:eastAsiaTheme="minorEastAsia"/>
          <w:b/>
          <w:lang w:val="en-US" w:eastAsia="zh-CN"/>
        </w:rPr>
      </w:pPr>
      <w:r>
        <w:rPr>
          <w:rFonts w:hint="eastAsia" w:asciiTheme="minorEastAsia" w:hAnsiTheme="minorEastAsia" w:eastAsiaTheme="minorEastAsia"/>
          <w:b/>
          <w:lang w:val="en-US" w:eastAsia="zh-CN"/>
        </w:rPr>
        <w:t>报名分为两种，公开采购和邀请采购两种方式报名方式</w:t>
      </w:r>
    </w:p>
    <w:p>
      <w:pPr>
        <w:rPr>
          <w:rFonts w:hint="default" w:asciiTheme="minorEastAsia" w:hAnsiTheme="minorEastAsia" w:eastAsiaTheme="minorEastAsia"/>
          <w:b/>
          <w:lang w:val="en-US" w:eastAsia="zh-CN"/>
        </w:rPr>
      </w:pPr>
      <w:r>
        <w:rPr>
          <w:rFonts w:hint="eastAsia" w:asciiTheme="minorEastAsia" w:hAnsiTheme="minorEastAsia" w:eastAsiaTheme="minorEastAsia"/>
          <w:b/>
          <w:lang w:val="en-US" w:eastAsia="zh-CN"/>
        </w:rPr>
        <w:t>①公开采购方式报名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</w:rPr>
        <w:t>操作说明：</w:t>
      </w:r>
    </w:p>
    <w:p>
      <w:pPr>
        <w:pStyle w:val="33"/>
        <w:numPr>
          <w:ilvl w:val="0"/>
          <w:numId w:val="2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第一步：点击左边导航栏“我要报名”，点击“报名”功能按钮；</w:t>
      </w:r>
      <w:r>
        <w:rPr>
          <w:rFonts w:asciiTheme="minorEastAsia" w:hAnsiTheme="minorEastAsia" w:eastAsiaTheme="minorEastAsia"/>
        </w:rPr>
        <w:t xml:space="preserve"> </w:t>
      </w:r>
    </w:p>
    <w:p>
      <w:pPr>
        <w:ind w:firstLine="0" w:firstLineChars="0"/>
        <w:jc w:val="left"/>
        <w:rPr>
          <w:lang w:val="zh-CN"/>
        </w:rPr>
      </w:pPr>
      <w:r>
        <w:drawing>
          <wp:inline distT="0" distB="0" distL="114300" distR="114300">
            <wp:extent cx="5269865" cy="186563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2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第二步：进入报名项目基本信息界面，选择投标联系人，可以上传附件信息，选择可报名分包， 点击报名功能按钮，报名成功；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7960" cy="27082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/>
          <w:b/>
          <w:lang w:val="en-US" w:eastAsia="zh-CN"/>
        </w:rPr>
      </w:pPr>
      <w:r>
        <w:rPr>
          <w:rFonts w:hint="eastAsia" w:asciiTheme="minorEastAsia" w:hAnsiTheme="minorEastAsia" w:eastAsiaTheme="minorEastAsia"/>
          <w:b/>
          <w:lang w:val="en-US" w:eastAsia="zh-CN"/>
        </w:rPr>
        <w:t>②邀请采购方式报名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</w:rPr>
        <w:t>操作说明：</w:t>
      </w:r>
    </w:p>
    <w:p>
      <w:pPr>
        <w:pStyle w:val="33"/>
        <w:numPr>
          <w:ilvl w:val="0"/>
          <w:numId w:val="2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第一步：点击左边导航栏“我要报名”，点击“</w:t>
      </w:r>
      <w:r>
        <w:rPr>
          <w:rFonts w:hint="eastAsia" w:asciiTheme="minorEastAsia" w:hAnsiTheme="minorEastAsia" w:eastAsiaTheme="minorEastAsia"/>
          <w:lang w:val="en-US" w:eastAsia="zh-CN"/>
        </w:rPr>
        <w:t>接受邀请函</w:t>
      </w:r>
      <w:r>
        <w:rPr>
          <w:rFonts w:hint="eastAsia" w:asciiTheme="minorEastAsia" w:hAnsiTheme="minorEastAsia" w:eastAsiaTheme="minorEastAsia"/>
        </w:rPr>
        <w:t>”功能按钮；</w:t>
      </w:r>
      <w:r>
        <w:rPr>
          <w:rFonts w:asciiTheme="minorEastAsia" w:hAnsiTheme="minorEastAsia" w:eastAsiaTheme="minorEastAsia"/>
        </w:rPr>
        <w:t xml:space="preserve"> </w:t>
      </w:r>
    </w:p>
    <w:p>
      <w:pPr>
        <w:ind w:firstLine="0" w:firstLineChars="0"/>
        <w:jc w:val="left"/>
        <w:rPr>
          <w:lang w:val="zh-CN"/>
        </w:rPr>
      </w:pPr>
      <w:r>
        <w:drawing>
          <wp:inline distT="0" distB="0" distL="114300" distR="114300">
            <wp:extent cx="5269865" cy="1350645"/>
            <wp:effectExtent l="0" t="0" r="635" b="825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2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第二步：进入报名项目基本信息界面，选择投标联系人，可以上传附件信息，选择可报名分包， 点击报名功能按钮，报名成功；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7960" cy="27082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default"/>
          <w:lang w:val="en-US" w:eastAsia="zh-CN"/>
        </w:rPr>
      </w:pPr>
    </w:p>
    <w:bookmarkEnd w:id="3"/>
    <w:p>
      <w:pPr>
        <w:pStyle w:val="3"/>
        <w:rPr>
          <w:rFonts w:ascii="黑体" w:hAnsi="黑体" w:eastAsia="黑体"/>
        </w:rPr>
      </w:pPr>
      <w:r>
        <w:rPr>
          <w:rFonts w:hint="eastAsia" w:ascii="黑体" w:hAnsi="黑体" w:eastAsia="黑体"/>
          <w:lang w:val="en-US" w:eastAsia="zh-CN"/>
        </w:rPr>
        <w:t>项目信息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</w:rPr>
        <w:t>操作说明：</w:t>
      </w:r>
    </w:p>
    <w:p>
      <w:pPr>
        <w:pStyle w:val="33"/>
        <w:numPr>
          <w:ilvl w:val="0"/>
          <w:numId w:val="2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第一步：点击左边导航栏“</w:t>
      </w:r>
      <w:r>
        <w:rPr>
          <w:rFonts w:hint="eastAsia" w:asciiTheme="minorEastAsia" w:hAnsiTheme="minorEastAsia" w:eastAsiaTheme="minorEastAsia"/>
          <w:lang w:val="en-US" w:eastAsia="zh-CN"/>
        </w:rPr>
        <w:t>项目信息</w:t>
      </w:r>
      <w:r>
        <w:rPr>
          <w:rFonts w:hint="eastAsia" w:asciiTheme="minorEastAsia" w:hAnsiTheme="minorEastAsia" w:eastAsiaTheme="minorEastAsia"/>
        </w:rPr>
        <w:t>”，</w:t>
      </w:r>
      <w:r>
        <w:rPr>
          <w:rFonts w:hint="eastAsia" w:asciiTheme="minorEastAsia" w:hAnsiTheme="minorEastAsia" w:eastAsiaTheme="minorEastAsia"/>
          <w:lang w:val="en-US" w:eastAsia="zh-CN"/>
        </w:rPr>
        <w:t>填写信息后保存提交</w:t>
      </w:r>
    </w:p>
    <w:p>
      <w:pPr>
        <w:pStyle w:val="33"/>
        <w:numPr>
          <w:numId w:val="0"/>
        </w:numPr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2880" cy="270256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</w:rPr>
        <w:t xml:space="preserve"> </w:t>
      </w:r>
    </w:p>
    <w:p/>
    <w:p>
      <w:pPr>
        <w:pStyle w:val="3"/>
        <w:rPr>
          <w:rFonts w:ascii="黑体" w:hAnsi="黑体" w:eastAsia="黑体"/>
        </w:rPr>
      </w:pPr>
      <w:bookmarkStart w:id="8" w:name="_Toc152246598"/>
      <w:r>
        <w:rPr>
          <w:rFonts w:hint="eastAsia" w:ascii="黑体" w:hAnsi="黑体" w:eastAsia="黑体"/>
        </w:rPr>
        <w:t>文件下载</w:t>
      </w:r>
      <w:bookmarkEnd w:id="8"/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</w:rPr>
        <w:t>操作说明：</w:t>
      </w:r>
    </w:p>
    <w:p>
      <w:pPr>
        <w:pStyle w:val="33"/>
        <w:numPr>
          <w:ilvl w:val="0"/>
          <w:numId w:val="2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第一步点击文件下载，进入供应商文件下载</w:t>
      </w:r>
      <w:r>
        <w:rPr>
          <w:rFonts w:asciiTheme="minorEastAsia" w:hAnsiTheme="minorEastAsia" w:eastAsiaTheme="minorEastAsia"/>
        </w:rPr>
        <w:t xml:space="preserve"> </w:t>
      </w:r>
      <w:r>
        <w:rPr>
          <w:rFonts w:hint="eastAsia" w:asciiTheme="minorEastAsia" w:hAnsiTheme="minorEastAsia" w:eastAsiaTheme="minorEastAsia"/>
        </w:rPr>
        <w:t>界面，点击招标文件</w:t>
      </w:r>
      <w:r>
        <w:rPr>
          <w:rFonts w:hint="eastAsia" w:asciiTheme="minorEastAsia" w:hAnsiTheme="minorEastAsia" w:eastAsiaTheme="minorEastAsia"/>
          <w:lang w:eastAsia="zh-CN"/>
        </w:rPr>
        <w:t>、</w:t>
      </w:r>
      <w:r>
        <w:rPr>
          <w:rFonts w:hint="eastAsia" w:asciiTheme="minorEastAsia" w:hAnsiTheme="minorEastAsia" w:eastAsiaTheme="minorEastAsia"/>
          <w:lang w:val="en-US" w:eastAsia="zh-CN"/>
        </w:rPr>
        <w:t>招标附件进行</w:t>
      </w:r>
      <w:r>
        <w:rPr>
          <w:rFonts w:hint="eastAsia" w:asciiTheme="minorEastAsia" w:hAnsiTheme="minorEastAsia" w:eastAsiaTheme="minorEastAsia"/>
        </w:rPr>
        <w:t>下载；</w:t>
      </w:r>
      <w:r>
        <w:rPr>
          <w:rFonts w:asciiTheme="minorEastAsia" w:hAnsiTheme="minorEastAsia" w:eastAsiaTheme="minorEastAsia"/>
        </w:rPr>
        <w:t xml:space="preserve"> </w:t>
      </w:r>
    </w:p>
    <w:p>
      <w:pPr>
        <w:ind w:firstLine="0" w:firstLineChars="0"/>
      </w:pPr>
      <w:r>
        <w:drawing>
          <wp:inline distT="0" distB="0" distL="0" distR="0">
            <wp:extent cx="5274310" cy="2098675"/>
            <wp:effectExtent l="0" t="0" r="2540" b="0"/>
            <wp:docPr id="3599971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9716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</w:rPr>
      </w:pPr>
      <w:bookmarkStart w:id="9" w:name="_Toc152246599"/>
      <w:r>
        <w:rPr>
          <w:rFonts w:hint="eastAsia" w:ascii="黑体" w:hAnsi="黑体" w:eastAsia="黑体"/>
          <w:lang w:val="en-US" w:eastAsia="zh-CN"/>
        </w:rPr>
        <w:t>文件质疑</w:t>
      </w:r>
    </w:p>
    <w:p>
      <w:pPr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lang w:val="en-US" w:eastAsia="zh-CN"/>
        </w:rPr>
        <w:t>打开文件质疑页面，可以新增标前质疑，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4150" cy="1285240"/>
            <wp:effectExtent l="0" t="0" r="635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填写质疑信息后保存提交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2880" cy="2177415"/>
            <wp:effectExtent l="0" t="0" r="762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经办人回复质疑后可以点击查看，查看经办人回复信息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1189990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可以查看标中澄清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336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项目澄清</w:t>
      </w:r>
      <w:bookmarkEnd w:id="9"/>
    </w:p>
    <w:p>
      <w:pPr>
        <w:ind w:firstLine="0" w:firstLineChars="0"/>
      </w:pPr>
      <w:r>
        <w:rPr>
          <w:rFonts w:hint="eastAsia"/>
        </w:rPr>
        <w:t>点击项目澄清，</w:t>
      </w:r>
      <w:r>
        <w:rPr>
          <w:rFonts w:hint="eastAsia"/>
          <w:lang w:val="en-US" w:eastAsia="zh-CN"/>
        </w:rPr>
        <w:t>可以查看项目澄清信息，</w:t>
      </w:r>
      <w:r>
        <w:rPr>
          <w:rFonts w:hint="eastAsia"/>
        </w:rPr>
        <w:t>下载澄清文件</w:t>
      </w:r>
    </w:p>
    <w:p>
      <w:pPr>
        <w:ind w:firstLine="0" w:firstLineChars="0"/>
      </w:pPr>
      <w:r>
        <w:drawing>
          <wp:inline distT="0" distB="0" distL="114300" distR="114300">
            <wp:extent cx="5271135" cy="1837690"/>
            <wp:effectExtent l="0" t="0" r="1206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</w:rPr>
      </w:pPr>
      <w:bookmarkStart w:id="10" w:name="_Toc152246600"/>
      <w:r>
        <w:rPr>
          <w:rFonts w:hint="eastAsia" w:ascii="黑体" w:hAnsi="黑体" w:eastAsia="黑体"/>
        </w:rPr>
        <w:t>投标</w:t>
      </w:r>
      <w:bookmarkEnd w:id="10"/>
    </w:p>
    <w:p>
      <w:pPr>
        <w:pStyle w:val="33"/>
        <w:numPr>
          <w:numId w:val="0"/>
        </w:numPr>
        <w:ind w:left="420" w:leftChars="0"/>
        <w:rPr>
          <w:rFonts w:hint="default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</w:rPr>
        <w:t>进入“投标”功能，</w:t>
      </w:r>
      <w:r>
        <w:rPr>
          <w:rFonts w:hint="eastAsia" w:asciiTheme="minorEastAsia" w:hAnsiTheme="minorEastAsia" w:eastAsiaTheme="minorEastAsia"/>
          <w:lang w:val="en-US" w:eastAsia="zh-CN"/>
        </w:rPr>
        <w:t>填写页面信息、上传报价文件和附件后保存提交</w:t>
      </w:r>
    </w:p>
    <w:p>
      <w:pPr>
        <w:ind w:firstLine="0" w:firstLineChars="0"/>
      </w:pPr>
      <w:r>
        <w:drawing>
          <wp:inline distT="0" distB="0" distL="114300" distR="114300">
            <wp:extent cx="5272405" cy="2961005"/>
            <wp:effectExtent l="0" t="0" r="1079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</w:rPr>
      </w:pPr>
      <w:r>
        <w:rPr>
          <w:rFonts w:hint="eastAsia" w:ascii="黑体" w:hAnsi="黑体" w:eastAsia="黑体"/>
          <w:lang w:val="en-US" w:eastAsia="zh-CN"/>
        </w:rPr>
        <w:t>中标候选人公示</w:t>
      </w:r>
    </w:p>
    <w:p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查看中标候选人公示信息</w:t>
      </w:r>
    </w:p>
    <w:p>
      <w:pPr>
        <w:ind w:firstLine="0" w:firstLineChars="0"/>
      </w:pPr>
      <w:r>
        <w:drawing>
          <wp:inline distT="0" distB="0" distL="114300" distR="114300">
            <wp:extent cx="5269230" cy="1861185"/>
            <wp:effectExtent l="0" t="0" r="127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</w:rPr>
      </w:pPr>
      <w:bookmarkStart w:id="11" w:name="_Toc152246602"/>
      <w:r>
        <w:rPr>
          <w:rFonts w:hint="eastAsia" w:ascii="黑体" w:hAnsi="黑体" w:eastAsia="黑体"/>
          <w:lang w:val="en-US" w:eastAsia="zh-CN"/>
        </w:rPr>
        <w:t>质疑投诉</w:t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供应商质疑投诉，可以点击新增添加，填写完信息后保存提交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1087755"/>
            <wp:effectExtent l="0" t="0" r="190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865" cy="1969770"/>
            <wp:effectExtent l="0" t="0" r="63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经办人回复后可以点击查看，查看回复内容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1049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结果公告</w:t>
      </w:r>
      <w:bookmarkEnd w:id="11"/>
    </w:p>
    <w:p>
      <w:pPr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val="en-US" w:eastAsia="zh-CN"/>
        </w:rPr>
        <w:t>进</w:t>
      </w:r>
      <w:r>
        <w:rPr>
          <w:rFonts w:hint="eastAsia" w:asciiTheme="minorEastAsia" w:hAnsiTheme="minorEastAsia" w:eastAsiaTheme="minorEastAsia"/>
        </w:rPr>
        <w:t>入结果公告界面，查看公告信息</w:t>
      </w:r>
    </w:p>
    <w:p>
      <w:pPr>
        <w:ind w:left="0" w:leftChars="0" w:firstLine="0" w:firstLineChars="0"/>
        <w:rPr>
          <w:rFonts w:hint="eastAsia" w:asciiTheme="minorEastAsia" w:hAnsiTheme="minorEastAsia" w:eastAsiaTheme="minorEastAsia"/>
        </w:rPr>
      </w:pPr>
      <w:r>
        <w:drawing>
          <wp:inline distT="0" distB="0" distL="114300" distR="114300">
            <wp:extent cx="5273040" cy="2209800"/>
            <wp:effectExtent l="0" t="0" r="1016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</w:rPr>
      </w:pPr>
      <w:bookmarkStart w:id="12" w:name="_Toc152246603"/>
      <w:r>
        <w:rPr>
          <w:rFonts w:hint="eastAsia" w:ascii="黑体" w:hAnsi="黑体" w:eastAsia="黑体"/>
        </w:rPr>
        <w:t>中标结果</w:t>
      </w:r>
      <w:bookmarkEnd w:id="12"/>
    </w:p>
    <w:p>
      <w:pPr>
        <w:pStyle w:val="33"/>
        <w:numPr>
          <w:ilvl w:val="0"/>
          <w:numId w:val="2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进入中标界面，查看中标信息，并可查看中标通知书；</w:t>
      </w:r>
    </w:p>
    <w:p>
      <w:pPr>
        <w:ind w:firstLine="0" w:firstLineChars="0"/>
      </w:pPr>
      <w:r>
        <w:drawing>
          <wp:inline distT="0" distB="0" distL="114300" distR="114300">
            <wp:extent cx="5267325" cy="121539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75238405"/>
    </w:sdtPr>
    <w:sdtContent>
      <w:p>
        <w:pPr>
          <w:pStyle w:val="13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9704966"/>
    </w:sdtPr>
    <w:sdtContent>
      <w:sdt>
        <w:sdtPr>
          <w:id w:val="1695888852"/>
        </w:sdtPr>
        <w:sdtContent>
          <w:p>
            <w:pPr>
              <w:pStyle w:val="13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  <w:ind w:firstLine="0" w:firstLineChars="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7414E3"/>
    <w:multiLevelType w:val="multilevel"/>
    <w:tmpl w:val="467414E3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723C347F"/>
    <w:multiLevelType w:val="multilevel"/>
    <w:tmpl w:val="723C347F"/>
    <w:lvl w:ilvl="0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75B57F03"/>
    <w:multiLevelType w:val="multilevel"/>
    <w:tmpl w:val="75B57F0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Y0MWJmYzRkMzI3NTNjNDIwMTMwYjc2ZjczZDUzNTUifQ=="/>
  </w:docVars>
  <w:rsids>
    <w:rsidRoot w:val="00C169B8"/>
    <w:rsid w:val="000259D1"/>
    <w:rsid w:val="00064B34"/>
    <w:rsid w:val="000A0042"/>
    <w:rsid w:val="000C28E7"/>
    <w:rsid w:val="00185105"/>
    <w:rsid w:val="001A5B60"/>
    <w:rsid w:val="001B3558"/>
    <w:rsid w:val="001F6E76"/>
    <w:rsid w:val="00215DB0"/>
    <w:rsid w:val="00225454"/>
    <w:rsid w:val="002345E6"/>
    <w:rsid w:val="00247E4F"/>
    <w:rsid w:val="00270A8D"/>
    <w:rsid w:val="002D4448"/>
    <w:rsid w:val="00310011"/>
    <w:rsid w:val="00317824"/>
    <w:rsid w:val="003D1CD8"/>
    <w:rsid w:val="003E59F4"/>
    <w:rsid w:val="00444913"/>
    <w:rsid w:val="004E2317"/>
    <w:rsid w:val="004F50DB"/>
    <w:rsid w:val="00577422"/>
    <w:rsid w:val="005A516A"/>
    <w:rsid w:val="00615CF5"/>
    <w:rsid w:val="00617412"/>
    <w:rsid w:val="006362E2"/>
    <w:rsid w:val="006A32CE"/>
    <w:rsid w:val="006E7209"/>
    <w:rsid w:val="007F3237"/>
    <w:rsid w:val="00846FBE"/>
    <w:rsid w:val="008653D0"/>
    <w:rsid w:val="009057DC"/>
    <w:rsid w:val="00962B48"/>
    <w:rsid w:val="009C6A7B"/>
    <w:rsid w:val="00A17842"/>
    <w:rsid w:val="00AB4BCC"/>
    <w:rsid w:val="00AB75A9"/>
    <w:rsid w:val="00AE6806"/>
    <w:rsid w:val="00B02980"/>
    <w:rsid w:val="00B41A42"/>
    <w:rsid w:val="00C0067F"/>
    <w:rsid w:val="00C112D3"/>
    <w:rsid w:val="00C169B8"/>
    <w:rsid w:val="00C476D4"/>
    <w:rsid w:val="00CC092F"/>
    <w:rsid w:val="00CD7B35"/>
    <w:rsid w:val="00CD7F89"/>
    <w:rsid w:val="00D4374E"/>
    <w:rsid w:val="00D536A0"/>
    <w:rsid w:val="00D853A1"/>
    <w:rsid w:val="00DB6867"/>
    <w:rsid w:val="00DD4A82"/>
    <w:rsid w:val="00E2062A"/>
    <w:rsid w:val="00E40016"/>
    <w:rsid w:val="00E628FF"/>
    <w:rsid w:val="00EB5990"/>
    <w:rsid w:val="00F579F2"/>
    <w:rsid w:val="00F928D2"/>
    <w:rsid w:val="00F92ED4"/>
    <w:rsid w:val="00FD2143"/>
    <w:rsid w:val="00FE5F32"/>
    <w:rsid w:val="12745F08"/>
    <w:rsid w:val="3AA716AF"/>
    <w:rsid w:val="3DD56C21"/>
    <w:rsid w:val="46780905"/>
    <w:rsid w:val="57894A1A"/>
    <w:rsid w:val="75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numPr>
        <w:ilvl w:val="0"/>
        <w:numId w:val="1"/>
      </w:numPr>
      <w:spacing w:before="120" w:after="120"/>
      <w:ind w:firstLine="0" w:firstLineChars="0"/>
      <w:outlineLvl w:val="0"/>
    </w:pPr>
    <w:rPr>
      <w:b/>
      <w:bCs/>
      <w:kern w:val="44"/>
      <w:sz w:val="32"/>
      <w:szCs w:val="44"/>
      <w:lang w:val="zh-CN"/>
    </w:rPr>
  </w:style>
  <w:style w:type="paragraph" w:styleId="3">
    <w:name w:val="heading 2"/>
    <w:basedOn w:val="1"/>
    <w:next w:val="1"/>
    <w:link w:val="25"/>
    <w:qFormat/>
    <w:uiPriority w:val="0"/>
    <w:pPr>
      <w:numPr>
        <w:ilvl w:val="1"/>
        <w:numId w:val="1"/>
      </w:numPr>
      <w:spacing w:before="120" w:after="120"/>
      <w:ind w:firstLineChars="0"/>
      <w:outlineLvl w:val="1"/>
    </w:pPr>
    <w:rPr>
      <w:rFonts w:ascii="Cambria" w:hAnsi="Cambria"/>
      <w:b/>
      <w:bCs/>
      <w:sz w:val="30"/>
      <w:szCs w:val="28"/>
      <w:lang w:val="zh-CN"/>
    </w:rPr>
  </w:style>
  <w:style w:type="paragraph" w:styleId="4">
    <w:name w:val="heading 3"/>
    <w:basedOn w:val="1"/>
    <w:next w:val="1"/>
    <w:link w:val="26"/>
    <w:qFormat/>
    <w:uiPriority w:val="9"/>
    <w:pPr>
      <w:numPr>
        <w:ilvl w:val="2"/>
        <w:numId w:val="1"/>
      </w:numPr>
      <w:spacing w:before="120" w:after="120"/>
      <w:ind w:firstLineChars="0"/>
      <w:outlineLvl w:val="2"/>
    </w:pPr>
    <w:rPr>
      <w:rFonts w:ascii="Cambria" w:hAnsi="Cambria"/>
      <w:b/>
      <w:bCs/>
      <w:color w:val="000000" w:themeColor="text1"/>
      <w:sz w:val="24"/>
      <w:lang w:val="zh-CN" w:eastAsia="en-US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numPr>
        <w:ilvl w:val="3"/>
        <w:numId w:val="1"/>
      </w:numPr>
      <w:spacing w:before="280" w:after="290" w:line="240" w:lineRule="auto"/>
      <w:ind w:firstLineChars="0"/>
      <w:outlineLvl w:val="3"/>
    </w:pPr>
    <w:rPr>
      <w:rFonts w:asciiTheme="majorHAnsi" w:hAnsiTheme="majorHAnsi" w:eastAsiaTheme="majorEastAsia" w:cstheme="majorBidi"/>
      <w:b/>
      <w:bCs/>
      <w:kern w:val="2"/>
      <w:sz w:val="24"/>
      <w:szCs w:val="28"/>
    </w:rPr>
  </w:style>
  <w:style w:type="paragraph" w:styleId="6">
    <w:name w:val="heading 5"/>
    <w:basedOn w:val="1"/>
    <w:next w:val="1"/>
    <w:link w:val="28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5"/>
    <w:semiHidden/>
    <w:unhideWhenUsed/>
    <w:qFormat/>
    <w:uiPriority w:val="99"/>
    <w:pPr>
      <w:jc w:val="left"/>
    </w:p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annotation subject"/>
    <w:basedOn w:val="11"/>
    <w:next w:val="11"/>
    <w:link w:val="36"/>
    <w:semiHidden/>
    <w:unhideWhenUsed/>
    <w:qFormat/>
    <w:uiPriority w:val="99"/>
    <w:rPr>
      <w:b/>
      <w:bCs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2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3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4">
    <w:name w:val="标题 1 字符"/>
    <w:basedOn w:val="19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44"/>
      <w:lang w:val="zh-CN"/>
    </w:rPr>
  </w:style>
  <w:style w:type="character" w:customStyle="1" w:styleId="25">
    <w:name w:val="标题 2 字符"/>
    <w:basedOn w:val="19"/>
    <w:link w:val="3"/>
    <w:qFormat/>
    <w:uiPriority w:val="0"/>
    <w:rPr>
      <w:rFonts w:ascii="Cambria" w:hAnsi="Cambria" w:eastAsia="宋体" w:cs="Times New Roman"/>
      <w:b/>
      <w:bCs/>
      <w:kern w:val="0"/>
      <w:sz w:val="30"/>
      <w:szCs w:val="28"/>
      <w:lang w:val="zh-CN"/>
    </w:rPr>
  </w:style>
  <w:style w:type="character" w:customStyle="1" w:styleId="26">
    <w:name w:val="标题 3 字符"/>
    <w:basedOn w:val="19"/>
    <w:link w:val="4"/>
    <w:qFormat/>
    <w:uiPriority w:val="9"/>
    <w:rPr>
      <w:rFonts w:ascii="Cambria" w:hAnsi="Cambria" w:eastAsia="宋体" w:cs="Times New Roman"/>
      <w:b/>
      <w:bCs/>
      <w:color w:val="000000" w:themeColor="text1"/>
      <w:kern w:val="0"/>
      <w:sz w:val="24"/>
      <w:szCs w:val="20"/>
      <w:lang w:val="zh-CN" w:eastAsia="en-US"/>
      <w14:textFill>
        <w14:solidFill>
          <w14:schemeClr w14:val="tx1"/>
        </w14:solidFill>
      </w14:textFill>
    </w:rPr>
  </w:style>
  <w:style w:type="character" w:customStyle="1" w:styleId="27">
    <w:name w:val="标题 4 字符"/>
    <w:basedOn w:val="19"/>
    <w:link w:val="5"/>
    <w:qFormat/>
    <w:uiPriority w:val="9"/>
    <w:rPr>
      <w:rFonts w:asciiTheme="majorHAnsi" w:hAnsiTheme="majorHAnsi" w:eastAsiaTheme="majorEastAsia" w:cstheme="majorBidi"/>
      <w:b/>
      <w:bCs/>
      <w:sz w:val="24"/>
      <w:szCs w:val="28"/>
    </w:rPr>
  </w:style>
  <w:style w:type="character" w:customStyle="1" w:styleId="28">
    <w:name w:val="标题 5 字符"/>
    <w:basedOn w:val="19"/>
    <w:link w:val="6"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字符"/>
    <w:basedOn w:val="19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字符"/>
    <w:basedOn w:val="19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字符"/>
    <w:basedOn w:val="19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qFormat/>
    <w:uiPriority w:val="34"/>
  </w:style>
  <w:style w:type="paragraph" w:customStyle="1" w:styleId="34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  <w:lang w:val="en-US"/>
    </w:rPr>
  </w:style>
  <w:style w:type="character" w:customStyle="1" w:styleId="35">
    <w:name w:val="批注文字 字符"/>
    <w:basedOn w:val="19"/>
    <w:link w:val="11"/>
    <w:semiHidden/>
    <w:qFormat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36">
    <w:name w:val="批注主题 字符"/>
    <w:basedOn w:val="35"/>
    <w:link w:val="17"/>
    <w:semiHidden/>
    <w:qFormat/>
    <w:uiPriority w:val="99"/>
    <w:rPr>
      <w:rFonts w:ascii="Times New Roman" w:hAnsi="Times New Roman" w:eastAsia="宋体" w:cs="Times New Roman"/>
      <w:b/>
      <w:bCs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721</Words>
  <Characters>770</Characters>
  <Lines>11</Lines>
  <Paragraphs>3</Paragraphs>
  <TotalTime>35</TotalTime>
  <ScaleCrop>false</ScaleCrop>
  <LinksUpToDate>false</LinksUpToDate>
  <CharactersWithSpaces>843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2022-07-03T07:50:00Z</dcterms:created>
  <dc:creator>王 峥</dc:creator>
  <cp:lastModifiedBy>18238</cp:lastModifiedBy>
  <dcterms:modified xsi:type="dcterms:W3CDTF">2024-05-23T10:45:23Z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11D108085AA840AAA105E47E74023663</vt:lpwstr>
  </property>
</Properties>
</file>